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0"/>
        <w:jc w:val="center"/>
      </w:pPr>
      <w:r>
        <w:rPr>
          <w:rFonts w:ascii="Arial" w:cs="Arial" w:eastAsia="Arial" w:hAnsi="Arial"/>
          <w:b/>
          <w:bCs/>
          <w:sz w:val="24"/>
          <w:szCs w:val="24"/>
        </w:rPr>
        <w:t xml:space="preserve">RESOLUCIÓN RECTORAL No. ____ DE 2026</w:t>
      </w:r>
    </w:p>
    <w:p>
      <w:pPr>
        <w:spacing w:after="100" w:before="0"/>
        <w:jc w:val="center"/>
      </w:pPr>
      <w:r>
        <w:rPr>
          <w:rFonts w:ascii="Arial" w:cs="Arial" w:eastAsia="Arial" w:hAnsi="Arial"/>
          <w:sz w:val="21"/>
          <w:szCs w:val="21"/>
        </w:rPr>
        <w:t xml:space="preserve">(____ de ______________ de 2026)</w:t>
      </w:r>
    </w:p>
    <w:p>
      <w:pPr>
        <w:spacing w:after="200" w:before="0"/>
        <w:jc w:val="center"/>
      </w:pPr>
      <w:r>
        <w:rPr>
          <w:rFonts w:ascii="Arial" w:cs="Arial" w:eastAsia="Arial" w:hAnsi="Arial"/>
          <w:b/>
          <w:bCs/>
          <w:sz w:val="19"/>
          <w:szCs w:val="19"/>
        </w:rPr>
        <w:t xml:space="preserve">«POR LA CUAL SE IMPLEMENTAN EL MANUAL DE CONTRATACIÓN Y EL REGLAMENTO INTERNO DE TESORERÍA Y PAGADURÍA DEL FONDO DE SERVICIOS EDUCATIVOS, SE ADOPTAN LOS FORMATOS OPERATIVOS, SE ASIGNAN RESPONSABILIDADES Y SE REGLAMENTA LA INCORPORACIÓN DE CAMBIOS NORMATIVOS Y DE LAS DISPOSICIONES DE LA ENTIDAD TERRITORIAL CERTIFICADA»</w:t>
      </w:r>
    </w:p>
    <w:p>
      <w:pPr>
        <w:spacing w:after="120" w:before="0" w:line="276"/>
        <w:jc w:val="both"/>
      </w:pPr>
      <w:r>
        <w:rPr>
          <w:rFonts w:ascii="Arial" w:cs="Arial" w:eastAsia="Arial" w:hAnsi="Arial"/>
          <w:sz w:val="21"/>
          <w:szCs w:val="21"/>
        </w:rPr>
        <w:t xml:space="preserve">EL RECTOR DE LA INSTITUCIÓN EDUCATIVA DEPARTAMENTAL CELINDA MEJÍA LÓPEZ, en su calidad de ordenador del gasto del Fondo de Servicios Educativos, en ejercicio de las facultades conferidas por el artículo 10 de la Ley 715 de 2001, el artículo 2.3.1.6.3.6 del Decreto 1075 de 2015 y los Acuerdos del Consejo Directivo que se citan, y</w:t>
      </w:r>
    </w:p>
    <w:p>
      <w:pPr>
        <w:spacing w:after="100" w:before="120"/>
        <w:jc w:val="center"/>
      </w:pPr>
      <w:r>
        <w:rPr>
          <w:rFonts w:ascii="Arial" w:cs="Arial" w:eastAsia="Arial" w:hAnsi="Arial"/>
          <w:b/>
          <w:bCs/>
          <w:sz w:val="21"/>
          <w:szCs w:val="21"/>
        </w:rPr>
        <w:t xml:space="preserve">CONSIDERANDO:</w:t>
      </w:r>
    </w:p>
    <w:p>
      <w:pPr>
        <w:spacing w:after="120" w:before="0" w:line="276"/>
        <w:jc w:val="both"/>
      </w:pPr>
      <w:r>
        <w:rPr>
          <w:rFonts w:ascii="Arial" w:cs="Arial" w:eastAsia="Arial" w:hAnsi="Arial"/>
          <w:sz w:val="21"/>
          <w:szCs w:val="21"/>
        </w:rPr>
        <w:t xml:space="preserve">Que mediante el Acuerdo No. ____ de 2026 el Consejo Directivo adoptó el Manual de Contratación del Fondo de Servicios Educativos (DS-MCF-CML-2026-001), y mediante el Acuerdo No. ____ de 2026 adoptó el Reglamento Interno de Tesorería y Pagaduría (DS-RTP-CML-2026-001).</w:t>
      </w:r>
    </w:p>
    <w:p>
      <w:pPr>
        <w:spacing w:after="120" w:before="0" w:line="276"/>
        <w:jc w:val="both"/>
      </w:pPr>
      <w:r>
        <w:rPr>
          <w:rFonts w:ascii="Arial" w:cs="Arial" w:eastAsia="Arial" w:hAnsi="Arial"/>
          <w:sz w:val="21"/>
          <w:szCs w:val="21"/>
        </w:rPr>
        <w:t xml:space="preserve">Que el artículo 73 del Manual adopta como instrumentos operativos los formatos F01 a F12 que se implementen por resolución rectoral, y faculta al rector para ajustarlos sin modificar requisitos, procedimientos ni garantías aprobados por el Consejo Directivo.</w:t>
      </w:r>
    </w:p>
    <w:p>
      <w:pPr>
        <w:spacing w:after="120" w:before="0" w:line="276"/>
        <w:jc w:val="both"/>
      </w:pPr>
      <w:r>
        <w:rPr>
          <w:rFonts w:ascii="Arial" w:cs="Arial" w:eastAsia="Arial" w:hAnsi="Arial"/>
          <w:sz w:val="21"/>
          <w:szCs w:val="21"/>
        </w:rPr>
        <w:t xml:space="preserve">Que los artículos 69 a 72 del Manual y 37 del Reglamento establecen la remisión dinámica a las normas superiores, la incorporación de las disposiciones de la Secretaría de Educación Departamental del Magdalena y la actualización de parámetros variables mediante resolución rectoral.</w:t>
      </w:r>
    </w:p>
    <w:p>
      <w:pPr>
        <w:spacing w:after="120" w:before="0" w:line="276"/>
        <w:jc w:val="both"/>
      </w:pPr>
      <w:r>
        <w:rPr>
          <w:rFonts w:ascii="Arial" w:cs="Arial" w:eastAsia="Arial" w:hAnsi="Arial"/>
          <w:sz w:val="21"/>
          <w:szCs w:val="21"/>
        </w:rPr>
        <w:t xml:space="preserve">Que la Resolución SED Magdalena No. 823 del 17 de junio de 2026 asignó las funciones de tesorería o pagaduría del Fondo a la funcionaria Rosario Patricia García Barrios, lo que exige definir el procedimiento interno de coordinación con la rectoría.</w:t>
      </w:r>
    </w:p>
    <w:p>
      <w:pPr>
        <w:spacing w:after="120" w:before="0" w:line="276"/>
        <w:jc w:val="both"/>
      </w:pPr>
      <w:r>
        <w:rPr>
          <w:rFonts w:ascii="Arial" w:cs="Arial" w:eastAsia="Arial" w:hAnsi="Arial"/>
          <w:sz w:val="21"/>
          <w:szCs w:val="21"/>
        </w:rPr>
        <w:t xml:space="preserve">Que el artículo 2.3.1.6.3.19 del Decreto 1075 de 2015 impone deberes de publicación y rendición de cuentas, y el artículo 13 de la Ley 1150 de 2007, modificado por el artículo 53 de la Ley 2195 de 2022, ordena la publicación de la actividad contractual en el SECOP II.</w:t>
      </w:r>
    </w:p>
    <w:p>
      <w:pPr>
        <w:spacing w:after="120" w:before="0" w:line="276"/>
        <w:jc w:val="both"/>
      </w:pPr>
      <w:r>
        <w:rPr>
          <w:rFonts w:ascii="Arial" w:cs="Arial" w:eastAsia="Arial" w:hAnsi="Arial"/>
          <w:sz w:val="21"/>
          <w:szCs w:val="21"/>
        </w:rPr>
        <w:t xml:space="preserve">En mérito de lo expuesto,</w:t>
      </w:r>
    </w:p>
    <w:p>
      <w:pPr>
        <w:spacing w:after="100" w:before="120"/>
        <w:jc w:val="center"/>
      </w:pPr>
      <w:r>
        <w:rPr>
          <w:rFonts w:ascii="Arial" w:cs="Arial" w:eastAsia="Arial" w:hAnsi="Arial"/>
          <w:b/>
          <w:bCs/>
          <w:sz w:val="21"/>
          <w:szCs w:val="21"/>
        </w:rPr>
        <w:t xml:space="preserve">RESUELVE:</w:t>
      </w:r>
    </w:p>
    <w:p>
      <w:pPr>
        <w:spacing w:after="120" w:before="120" w:line="276"/>
        <w:jc w:val="both"/>
      </w:pPr>
      <w:r>
        <w:rPr>
          <w:rFonts w:ascii="Arial" w:cs="Arial" w:eastAsia="Arial" w:hAnsi="Arial"/>
          <w:b/>
          <w:bCs/>
          <w:color w:val="17506A"/>
          <w:sz w:val="21"/>
          <w:szCs w:val="21"/>
        </w:rPr>
        <w:t xml:space="preserve">ARTÍCULO PRIMERO. IMPLEMENTACIÓN. </w:t>
      </w:r>
      <w:r>
        <w:rPr>
          <w:rFonts w:ascii="Arial" w:cs="Arial" w:eastAsia="Arial" w:hAnsi="Arial"/>
          <w:sz w:val="21"/>
          <w:szCs w:val="21"/>
        </w:rPr>
        <w:t xml:space="preserve">Impleméntanse a partir de la fecha el Manual de Contratación y el Reglamento Interno de Tesorería y Pagaduría del Fondo de Servicios Educativos, en los términos aprobados por el Consejo Directivo.</w:t>
      </w:r>
    </w:p>
    <w:p>
      <w:pPr>
        <w:spacing w:after="120" w:before="120" w:line="276"/>
        <w:jc w:val="both"/>
      </w:pPr>
      <w:r>
        <w:rPr>
          <w:rFonts w:ascii="Arial" w:cs="Arial" w:eastAsia="Arial" w:hAnsi="Arial"/>
          <w:b/>
          <w:bCs/>
          <w:color w:val="17506A"/>
          <w:sz w:val="21"/>
          <w:szCs w:val="21"/>
        </w:rPr>
        <w:t xml:space="preserve">ARTÍCULO SEGUNDO. FORMATOS OPERATIVOS. </w:t>
      </w:r>
      <w:r>
        <w:rPr>
          <w:rFonts w:ascii="Arial" w:cs="Arial" w:eastAsia="Arial" w:hAnsi="Arial"/>
          <w:sz w:val="21"/>
          <w:szCs w:val="21"/>
        </w:rPr>
        <w:t xml:space="preserve">Adóptanse los siguientes formatos, de uso obligatorio en los expedientes contractuales y de tesorería:</w:t>
      </w:r>
    </w:p>
    <w:tbl>
      <w:tblPr>
        <w:tblW w:type="dxa" w:w="8838"/>
        <w:tblBorders>
          <w:top w:val="single" w:color="auto" w:sz="4"/>
          <w:left w:val="single" w:color="auto" w:sz="4"/>
          <w:bottom w:val="single" w:color="auto" w:sz="4"/>
          <w:right w:val="single" w:color="auto" w:sz="4"/>
          <w:insideH w:val="single" w:color="auto" w:sz="4"/>
          <w:insideV w:val="single" w:color="auto" w:sz="4"/>
        </w:tblBorders>
      </w:tblPr>
      <w:tblGrid>
        <w:gridCol w:w="900"/>
        <w:gridCol w:w="5300"/>
        <w:gridCol w:w="2638"/>
      </w:tblGrid>
      <w:tr>
        <w:trPr>
          <w:tblHeader/>
        </w:trPr>
        <w:tc>
          <w:tcPr>
            <w:tcW w:type="dxa" w:w="900"/>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Código</w:t>
            </w:r>
          </w:p>
        </w:tc>
        <w:tc>
          <w:tcPr>
            <w:tcW w:type="dxa" w:w="5300"/>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Formato</w:t>
            </w:r>
          </w:p>
        </w:tc>
        <w:tc>
          <w:tcPr>
            <w:tcW w:type="dxa" w:w="2638"/>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Uso</w:t>
            </w:r>
          </w:p>
        </w:tc>
      </w:tr>
      <w:tr>
        <w:trPr>
          <w:cantSplit/>
        </w:trPr>
        <w:tc>
          <w:tcPr>
            <w:tcW w:type="dxa" w:w="9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b/>
                <w:bCs/>
                <w:sz w:val="18"/>
                <w:szCs w:val="18"/>
              </w:rPr>
              <w:t xml:space="preserve">F01</w:t>
            </w:r>
          </w:p>
        </w:tc>
        <w:tc>
          <w:tcPr>
            <w:tcW w:type="dxa" w:w="53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Estudio previo simplificado</w:t>
            </w:r>
          </w:p>
        </w:tc>
        <w:tc>
          <w:tcPr>
            <w:tcW w:type="dxa" w:w="26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Tramo T-1</w:t>
            </w:r>
          </w:p>
        </w:tc>
      </w:tr>
      <w:tr>
        <w:trPr>
          <w:cantSplit/>
        </w:trPr>
        <w:tc>
          <w:tcPr>
            <w:tcW w:type="dxa" w:w="9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b/>
                <w:bCs/>
                <w:sz w:val="18"/>
                <w:szCs w:val="18"/>
              </w:rPr>
              <w:t xml:space="preserve">F02</w:t>
            </w:r>
          </w:p>
        </w:tc>
        <w:tc>
          <w:tcPr>
            <w:tcW w:type="dxa" w:w="53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Estudio previo</w:t>
            </w:r>
          </w:p>
        </w:tc>
        <w:tc>
          <w:tcPr>
            <w:tcW w:type="dxa" w:w="26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Tramos T-2 y T-3</w:t>
            </w:r>
          </w:p>
        </w:tc>
      </w:tr>
      <w:tr>
        <w:trPr>
          <w:cantSplit/>
        </w:trPr>
        <w:tc>
          <w:tcPr>
            <w:tcW w:type="dxa" w:w="9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b/>
                <w:bCs/>
                <w:sz w:val="18"/>
                <w:szCs w:val="18"/>
              </w:rPr>
              <w:t xml:space="preserve">F03</w:t>
            </w:r>
          </w:p>
        </w:tc>
        <w:tc>
          <w:tcPr>
            <w:tcW w:type="dxa" w:w="53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Expediente electrónico de mercado y cuadro comparativo</w:t>
            </w:r>
          </w:p>
        </w:tc>
        <w:tc>
          <w:tcPr>
            <w:tcW w:type="dxa" w:w="26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Todos los tramos</w:t>
            </w:r>
          </w:p>
        </w:tc>
      </w:tr>
      <w:tr>
        <w:trPr>
          <w:cantSplit/>
        </w:trPr>
        <w:tc>
          <w:tcPr>
            <w:tcW w:type="dxa" w:w="9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b/>
                <w:bCs/>
                <w:sz w:val="18"/>
                <w:szCs w:val="18"/>
              </w:rPr>
              <w:t xml:space="preserve">F04</w:t>
            </w:r>
          </w:p>
        </w:tc>
        <w:tc>
          <w:tcPr>
            <w:tcW w:type="dxa" w:w="53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Invitación a ofertar / invitación pública</w:t>
            </w:r>
          </w:p>
        </w:tc>
        <w:tc>
          <w:tcPr>
            <w:tcW w:type="dxa" w:w="26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Tramos T-2 y T-3</w:t>
            </w:r>
          </w:p>
        </w:tc>
      </w:tr>
      <w:tr>
        <w:trPr>
          <w:cantSplit/>
        </w:trPr>
        <w:tc>
          <w:tcPr>
            <w:tcW w:type="dxa" w:w="9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b/>
                <w:bCs/>
                <w:sz w:val="18"/>
                <w:szCs w:val="18"/>
              </w:rPr>
              <w:t xml:space="preserve">F05</w:t>
            </w:r>
          </w:p>
        </w:tc>
        <w:tc>
          <w:tcPr>
            <w:tcW w:type="dxa" w:w="53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Acta de cierre, verificación y evaluación de ofertas</w:t>
            </w:r>
          </w:p>
        </w:tc>
        <w:tc>
          <w:tcPr>
            <w:tcW w:type="dxa" w:w="26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Tramos T-2 y T-3</w:t>
            </w:r>
          </w:p>
        </w:tc>
      </w:tr>
      <w:tr>
        <w:trPr>
          <w:cantSplit/>
        </w:trPr>
        <w:tc>
          <w:tcPr>
            <w:tcW w:type="dxa" w:w="9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b/>
                <w:bCs/>
                <w:sz w:val="18"/>
                <w:szCs w:val="18"/>
              </w:rPr>
              <w:t xml:space="preserve">F06</w:t>
            </w:r>
          </w:p>
        </w:tc>
        <w:tc>
          <w:tcPr>
            <w:tcW w:type="dxa" w:w="53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Designación de supervisor</w:t>
            </w:r>
          </w:p>
        </w:tc>
        <w:tc>
          <w:tcPr>
            <w:tcW w:type="dxa" w:w="26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Todos los contratos</w:t>
            </w:r>
          </w:p>
        </w:tc>
      </w:tr>
      <w:tr>
        <w:trPr>
          <w:cantSplit/>
        </w:trPr>
        <w:tc>
          <w:tcPr>
            <w:tcW w:type="dxa" w:w="9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b/>
                <w:bCs/>
                <w:sz w:val="18"/>
                <w:szCs w:val="18"/>
              </w:rPr>
              <w:t xml:space="preserve">F07</w:t>
            </w:r>
          </w:p>
        </w:tc>
        <w:tc>
          <w:tcPr>
            <w:tcW w:type="dxa" w:w="53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Informe de supervisión y certificación de cumplimiento</w:t>
            </w:r>
          </w:p>
        </w:tc>
        <w:tc>
          <w:tcPr>
            <w:tcW w:type="dxa" w:w="26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Todos los pagos</w:t>
            </w:r>
          </w:p>
        </w:tc>
      </w:tr>
      <w:tr>
        <w:trPr>
          <w:cantSplit/>
        </w:trPr>
        <w:tc>
          <w:tcPr>
            <w:tcW w:type="dxa" w:w="9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b/>
                <w:bCs/>
                <w:sz w:val="18"/>
                <w:szCs w:val="18"/>
              </w:rPr>
              <w:t xml:space="preserve">F08</w:t>
            </w:r>
          </w:p>
        </w:tc>
        <w:tc>
          <w:tcPr>
            <w:tcW w:type="dxa" w:w="53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Acta de recibo en sede e ingreso a inventario</w:t>
            </w:r>
          </w:p>
        </w:tc>
        <w:tc>
          <w:tcPr>
            <w:tcW w:type="dxa" w:w="26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Bienes</w:t>
            </w:r>
          </w:p>
        </w:tc>
      </w:tr>
      <w:tr>
        <w:trPr>
          <w:cantSplit/>
        </w:trPr>
        <w:tc>
          <w:tcPr>
            <w:tcW w:type="dxa" w:w="9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b/>
                <w:bCs/>
                <w:sz w:val="18"/>
                <w:szCs w:val="18"/>
              </w:rPr>
              <w:t xml:space="preserve">F09</w:t>
            </w:r>
          </w:p>
        </w:tc>
        <w:tc>
          <w:tcPr>
            <w:tcW w:type="dxa" w:w="53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Lista de verificación de pago</w:t>
            </w:r>
          </w:p>
        </w:tc>
        <w:tc>
          <w:tcPr>
            <w:tcW w:type="dxa" w:w="26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Todos los pagos</w:t>
            </w:r>
          </w:p>
        </w:tc>
      </w:tr>
      <w:tr>
        <w:trPr>
          <w:cantSplit/>
        </w:trPr>
        <w:tc>
          <w:tcPr>
            <w:tcW w:type="dxa" w:w="9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b/>
                <w:bCs/>
                <w:sz w:val="18"/>
                <w:szCs w:val="18"/>
              </w:rPr>
              <w:t xml:space="preserve">F10</w:t>
            </w:r>
          </w:p>
        </w:tc>
        <w:tc>
          <w:tcPr>
            <w:tcW w:type="dxa" w:w="53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Acta de entrega y recibo de la tesorería-pagaduría</w:t>
            </w:r>
          </w:p>
        </w:tc>
        <w:tc>
          <w:tcPr>
            <w:tcW w:type="dxa" w:w="26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Empalmes</w:t>
            </w:r>
          </w:p>
        </w:tc>
      </w:tr>
      <w:tr>
        <w:trPr>
          <w:cantSplit/>
        </w:trPr>
        <w:tc>
          <w:tcPr>
            <w:tcW w:type="dxa" w:w="9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b/>
                <w:bCs/>
                <w:sz w:val="18"/>
                <w:szCs w:val="18"/>
              </w:rPr>
              <w:t xml:space="preserve">F11</w:t>
            </w:r>
          </w:p>
        </w:tc>
        <w:tc>
          <w:tcPr>
            <w:tcW w:type="dxa" w:w="53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Registro de actualizaciones normativas y disposiciones de la ETC</w:t>
            </w:r>
          </w:p>
        </w:tc>
        <w:tc>
          <w:tcPr>
            <w:tcW w:type="dxa" w:w="26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Permanente</w:t>
            </w:r>
          </w:p>
        </w:tc>
      </w:tr>
      <w:tr>
        <w:trPr>
          <w:cantSplit/>
        </w:trPr>
        <w:tc>
          <w:tcPr>
            <w:tcW w:type="dxa" w:w="9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b/>
                <w:bCs/>
                <w:sz w:val="18"/>
                <w:szCs w:val="18"/>
              </w:rPr>
              <w:t xml:space="preserve">F12</w:t>
            </w:r>
          </w:p>
        </w:tc>
        <w:tc>
          <w:tcPr>
            <w:tcW w:type="dxa" w:w="53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Relación mensual de contratos y convenios</w:t>
            </w:r>
          </w:p>
        </w:tc>
        <w:tc>
          <w:tcPr>
            <w:tcW w:type="dxa" w:w="26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Publicación mensual</w:t>
            </w:r>
          </w:p>
        </w:tc>
      </w:tr>
    </w:tbl>
    <w:p>
      <w:pPr>
        <w:spacing w:after="120"/>
      </w:pPr>
    </w:p>
    <w:p>
      <w:pPr>
        <w:spacing w:after="120" w:before="120" w:line="276"/>
        <w:jc w:val="both"/>
      </w:pPr>
      <w:r>
        <w:rPr>
          <w:rFonts w:ascii="Arial" w:cs="Arial" w:eastAsia="Arial" w:hAnsi="Arial"/>
          <w:b/>
          <w:bCs/>
          <w:color w:val="17506A"/>
          <w:sz w:val="21"/>
          <w:szCs w:val="21"/>
        </w:rPr>
        <w:t xml:space="preserve">ARTÍCULO TERCERO. RESPONSABLES. </w:t>
      </w:r>
      <w:r>
        <w:rPr>
          <w:rFonts w:ascii="Arial" w:cs="Arial" w:eastAsia="Arial" w:hAnsi="Arial"/>
          <w:sz w:val="21"/>
          <w:szCs w:val="21"/>
        </w:rPr>
        <w:t xml:space="preserve">Asígnanse las siguientes responsabilidades operativas, sin perjuicio de las que corresponden al rector como ordenador del gasto:</w:t>
      </w:r>
    </w:p>
    <w:tbl>
      <w:tblPr>
        <w:tblW w:type="dxa" w:w="8838"/>
        <w:tblBorders>
          <w:top w:val="single" w:color="auto" w:sz="4"/>
          <w:left w:val="single" w:color="auto" w:sz="4"/>
          <w:bottom w:val="single" w:color="auto" w:sz="4"/>
          <w:right w:val="single" w:color="auto" w:sz="4"/>
          <w:insideH w:val="single" w:color="auto" w:sz="4"/>
          <w:insideV w:val="single" w:color="auto" w:sz="4"/>
        </w:tblBorders>
      </w:tblPr>
      <w:tblGrid>
        <w:gridCol w:w="4800"/>
        <w:gridCol w:w="4038"/>
      </w:tblGrid>
      <w:tr>
        <w:trPr>
          <w:tblHeader/>
        </w:trPr>
        <w:tc>
          <w:tcPr>
            <w:tcW w:type="dxa" w:w="4800"/>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Actividad</w:t>
            </w:r>
          </w:p>
        </w:tc>
        <w:tc>
          <w:tcPr>
            <w:tcW w:type="dxa" w:w="4038"/>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Responsable</w:t>
            </w:r>
          </w:p>
        </w:tc>
      </w:tr>
      <w:tr>
        <w:trPr>
          <w:cantSplit/>
        </w:trPr>
        <w:tc>
          <w:tcPr>
            <w:tcW w:type="dxa" w:w="48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Elaboración del estudio de mercado y del expediente F03</w:t>
            </w:r>
          </w:p>
        </w:tc>
        <w:tc>
          <w:tcPr>
            <w:tcW w:type="dxa" w:w="40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Funcionario o docente designado en cada proceso por el rector</w:t>
            </w:r>
          </w:p>
        </w:tc>
      </w:tr>
      <w:tr>
        <w:trPr>
          <w:cantSplit/>
        </w:trPr>
        <w:tc>
          <w:tcPr>
            <w:tcW w:type="dxa" w:w="48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Expedición de CDP y RP; verificación de pagos (F09)</w:t>
            </w:r>
          </w:p>
        </w:tc>
        <w:tc>
          <w:tcPr>
            <w:tcW w:type="dxa" w:w="40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Rosario Patricia García Barrios — tesorera-pagadora</w:t>
            </w:r>
          </w:p>
        </w:tc>
      </w:tr>
      <w:tr>
        <w:trPr>
          <w:cantSplit/>
        </w:trPr>
        <w:tc>
          <w:tcPr>
            <w:tcW w:type="dxa" w:w="48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Operación de la cuenta institucional en el SECOP II</w:t>
            </w:r>
          </w:p>
        </w:tc>
        <w:tc>
          <w:tcPr>
            <w:tcW w:type="dxa" w:w="40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Rector, con apoyo de la pagaduría</w:t>
            </w:r>
          </w:p>
        </w:tc>
      </w:tr>
      <w:tr>
        <w:trPr>
          <w:cantSplit/>
        </w:trPr>
        <w:tc>
          <w:tcPr>
            <w:tcW w:type="dxa" w:w="48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Publicación mensual de contratos (F12) en cartelera y web</w:t>
            </w:r>
          </w:p>
        </w:tc>
        <w:tc>
          <w:tcPr>
            <w:tcW w:type="dxa" w:w="40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[PENDIENTE: funcionario administrativo]</w:t>
            </w:r>
          </w:p>
        </w:tc>
      </w:tr>
      <w:tr>
        <w:trPr>
          <w:cantSplit/>
        </w:trPr>
        <w:tc>
          <w:tcPr>
            <w:tcW w:type="dxa" w:w="48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Custodia del inventario y actas F08</w:t>
            </w:r>
          </w:p>
        </w:tc>
        <w:tc>
          <w:tcPr>
            <w:tcW w:type="dxa" w:w="40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[PENDIENTE: funcionario responsable de almacén]</w:t>
            </w:r>
          </w:p>
        </w:tc>
      </w:tr>
      <w:tr>
        <w:trPr>
          <w:cantSplit/>
        </w:trPr>
        <w:tc>
          <w:tcPr>
            <w:tcW w:type="dxa" w:w="48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Registro de actualizaciones normativas (F11)</w:t>
            </w:r>
          </w:p>
        </w:tc>
        <w:tc>
          <w:tcPr>
            <w:tcW w:type="dxa" w:w="40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Rector, con apoyo de la asistencia técnica</w:t>
            </w:r>
          </w:p>
        </w:tc>
      </w:tr>
    </w:tbl>
    <w:p>
      <w:pPr>
        <w:spacing w:after="120"/>
      </w:pPr>
    </w:p>
    <w:p>
      <w:pPr>
        <w:spacing w:after="120" w:before="120" w:line="276"/>
        <w:jc w:val="both"/>
      </w:pPr>
      <w:r>
        <w:rPr>
          <w:rFonts w:ascii="Arial" w:cs="Arial" w:eastAsia="Arial" w:hAnsi="Arial"/>
          <w:b/>
          <w:bCs/>
          <w:color w:val="17506A"/>
          <w:sz w:val="21"/>
          <w:szCs w:val="21"/>
        </w:rPr>
        <w:t xml:space="preserve">ARTÍCULO CUARTO. SUPERVISIÓN. </w:t>
      </w:r>
      <w:r>
        <w:rPr>
          <w:rFonts w:ascii="Arial" w:cs="Arial" w:eastAsia="Arial" w:hAnsi="Arial"/>
          <w:sz w:val="21"/>
          <w:szCs w:val="21"/>
        </w:rPr>
        <w:t xml:space="preserve">La supervisión de cada contrato u orden se designará por escrito mediante el formato F06, en persona distinta de la tesorera-pagadora. El supervisor suscribirá el formato F07 como requisito previo a todo pago.</w:t>
      </w:r>
    </w:p>
    <w:p>
      <w:pPr>
        <w:spacing w:after="120" w:before="120" w:line="276"/>
        <w:jc w:val="both"/>
      </w:pPr>
      <w:r>
        <w:rPr>
          <w:rFonts w:ascii="Arial" w:cs="Arial" w:eastAsia="Arial" w:hAnsi="Arial"/>
          <w:b/>
          <w:bCs/>
          <w:color w:val="17506A"/>
          <w:sz w:val="21"/>
          <w:szCs w:val="21"/>
        </w:rPr>
        <w:t xml:space="preserve">ARTÍCULO QUINTO. CANAL INSTITUCIONAL Y EXPEDIENTE. </w:t>
      </w:r>
      <w:r>
        <w:rPr>
          <w:rFonts w:ascii="Arial" w:cs="Arial" w:eastAsia="Arial" w:hAnsi="Arial"/>
          <w:sz w:val="21"/>
          <w:szCs w:val="21"/>
        </w:rPr>
        <w:t xml:space="preserve">Las comunicaciones con la pagaduría, los proveedores, la Secretaría de Educación y las plataformas SECOP II y SIFSE se surtirán desde el correo institucional de la rectoría. Cada proceso tendrá un expediente único, organizado por las nueve fases del Anexo 1 del Manual.</w:t>
      </w:r>
    </w:p>
    <w:p>
      <w:pPr>
        <w:spacing w:after="120" w:before="120" w:line="276"/>
        <w:jc w:val="both"/>
      </w:pPr>
      <w:r>
        <w:rPr>
          <w:rFonts w:ascii="Arial" w:cs="Arial" w:eastAsia="Arial" w:hAnsi="Arial"/>
          <w:b/>
          <w:bCs/>
          <w:color w:val="17506A"/>
          <w:sz w:val="21"/>
          <w:szCs w:val="21"/>
        </w:rPr>
        <w:t xml:space="preserve">ARTÍCULO SEXTO. INCORPORACIÓN DE CAMBIOS NORMATIVOS Y DE DISPOSICIONES DE LA ETC. </w:t>
      </w:r>
      <w:r>
        <w:rPr>
          <w:rFonts w:ascii="Arial" w:cs="Arial" w:eastAsia="Arial" w:hAnsi="Arial"/>
          <w:sz w:val="21"/>
          <w:szCs w:val="21"/>
        </w:rPr>
        <w:t xml:space="preserve">Las normas superiores que modifiquen materias del Manual o del Reglamento, y las disposiciones vinculantes de la Secretaría de Educación Departamental del Magdalena, se incorporarán así: a) registro en el formato F11 dentro de los cinco (5) días hábiles siguientes a su conocimiento, con identificación de la norma, los artículos afectados y su naturaleza; b) resolución rectoral de incorporación dentro de los diez (10) días hábiles siguientes, cuando se trate de reglas legales o de parámetros variables; c) informe al Consejo Directivo en la sesión siguiente y, si se afectan reglas adoptadas por este, proyecto de acuerdo dentro de los treinta (30) días calendario; d) publicación de la versión consolidada en el SECOP II, la página web y la cartelera.</w:t>
      </w:r>
    </w:p>
    <w:p>
      <w:pPr>
        <w:spacing w:after="120" w:before="120" w:line="276"/>
        <w:jc w:val="both"/>
      </w:pPr>
      <w:r>
        <w:rPr>
          <w:rFonts w:ascii="Arial" w:cs="Arial" w:eastAsia="Arial" w:hAnsi="Arial"/>
          <w:b/>
          <w:bCs/>
          <w:color w:val="17506A"/>
          <w:sz w:val="21"/>
          <w:szCs w:val="21"/>
        </w:rPr>
        <w:t xml:space="preserve">ARTÍCULO SÉPTIMO. PARÁMETROS VIGENTES. </w:t>
      </w:r>
      <w:r>
        <w:rPr>
          <w:rFonts w:ascii="Arial" w:cs="Arial" w:eastAsia="Arial" w:hAnsi="Arial"/>
          <w:sz w:val="21"/>
          <w:szCs w:val="21"/>
        </w:rPr>
        <w:t xml:space="preserve">Para la vigencia 2026 rigen los siguientes parámetros: SMMLV $1.750.905; tramo T-1 hasta $5.252.715; tramo T-2 hasta $17.509.050; tramo T-3 hasta $35.018.100. Su actualización en vigencias siguientes se efectuará mediante resolución informativa, conforme al artículo 71 del Manual.</w:t>
      </w:r>
    </w:p>
    <w:p>
      <w:pPr>
        <w:spacing w:after="120" w:before="120" w:line="276"/>
        <w:jc w:val="both"/>
      </w:pPr>
      <w:r>
        <w:rPr>
          <w:rFonts w:ascii="Arial" w:cs="Arial" w:eastAsia="Arial" w:hAnsi="Arial"/>
          <w:b/>
          <w:bCs/>
          <w:color w:val="17506A"/>
          <w:sz w:val="21"/>
          <w:szCs w:val="21"/>
        </w:rPr>
        <w:t xml:space="preserve">ARTÍCULO OCTAVO. PUBLICACIÓN Y COMUNICACIÓN. </w:t>
      </w:r>
      <w:r>
        <w:rPr>
          <w:rFonts w:ascii="Arial" w:cs="Arial" w:eastAsia="Arial" w:hAnsi="Arial"/>
          <w:sz w:val="21"/>
          <w:szCs w:val="21"/>
        </w:rPr>
        <w:t xml:space="preserve">Publíquese la presente resolución en el SECOP II, la página web y la cartelera institucional, y comuníquese a la tesorera-pagadora, a los supervisores designados, al Consejo Directivo y a la Secretaría de Educación Departamental del Magdalena.</w:t>
      </w:r>
    </w:p>
    <w:p>
      <w:pPr>
        <w:spacing w:after="120" w:before="120" w:line="276"/>
        <w:jc w:val="both"/>
      </w:pPr>
      <w:r>
        <w:rPr>
          <w:rFonts w:ascii="Arial" w:cs="Arial" w:eastAsia="Arial" w:hAnsi="Arial"/>
          <w:b/>
          <w:bCs/>
          <w:color w:val="17506A"/>
          <w:sz w:val="21"/>
          <w:szCs w:val="21"/>
        </w:rPr>
        <w:t xml:space="preserve">ARTÍCULO NOVENO. VIGENCIA. </w:t>
      </w:r>
      <w:r>
        <w:rPr>
          <w:rFonts w:ascii="Arial" w:cs="Arial" w:eastAsia="Arial" w:hAnsi="Arial"/>
          <w:sz w:val="21"/>
          <w:szCs w:val="21"/>
        </w:rPr>
        <w:t xml:space="preserve">La presente resolución rige a partir de la fecha de su expedición.</w:t>
      </w:r>
    </w:p>
    <w:p>
      <w:pPr>
        <w:spacing w:after="100" w:before="200"/>
        <w:jc w:val="center"/>
      </w:pPr>
      <w:r>
        <w:rPr>
          <w:rFonts w:ascii="Arial" w:cs="Arial" w:eastAsia="Arial" w:hAnsi="Arial"/>
          <w:b/>
          <w:bCs/>
          <w:sz w:val="21"/>
          <w:szCs w:val="21"/>
        </w:rPr>
        <w:t xml:space="preserve">COMUNÍQUESE, PUBLÍQUESE Y CÚMPLASE</w:t>
      </w:r>
    </w:p>
    <w:p>
      <w:pPr>
        <w:spacing w:after="120" w:before="0" w:line="276"/>
        <w:jc w:val="center"/>
      </w:pPr>
      <w:r>
        <w:rPr>
          <w:rFonts w:ascii="Arial" w:cs="Arial" w:eastAsia="Arial" w:hAnsi="Arial"/>
          <w:sz w:val="21"/>
          <w:szCs w:val="21"/>
        </w:rPr>
        <w:t xml:space="preserve">Dada en Barroblanco, municipio de Santa Ana (Magdalena), a los ____ días del mes de ______________ de 2026.</w:t>
      </w:r>
    </w:p>
    <w:tbl>
      <w:tblPr>
        <w:tblW w:type="dxa" w:w="8838"/>
        <w:tblBorders>
          <w:top w:val="single" w:color="auto" w:sz="4"/>
          <w:left w:val="single" w:color="auto" w:sz="4"/>
          <w:bottom w:val="single" w:color="auto" w:sz="4"/>
          <w:right w:val="single" w:color="auto" w:sz="4"/>
          <w:insideH w:val="single" w:color="auto" w:sz="4"/>
          <w:insideV w:val="single" w:color="auto" w:sz="4"/>
        </w:tblBorders>
      </w:tblPr>
      <w:tblGrid>
        <w:gridCol w:w="4419"/>
        <w:gridCol w:w="4419"/>
      </w:tblGrid>
      <w:tr>
        <w:trPr>
          <w:cantSplit/>
        </w:trPr>
        <w:tc>
          <w:tcPr>
            <w:tcW w:type="dxa" w:w="4419"/>
            <w:tcBorders>
              <w:top w:val="none" w:color="FFFFFF" w:sz="0"/>
              <w:left w:val="none" w:color="FFFFFF" w:sz="0"/>
              <w:bottom w:val="none" w:color="FFFFFF" w:sz="0"/>
              <w:right w:val="none" w:color="FFFFFF" w:sz="0"/>
            </w:tcBorders>
          </w:tcPr>
          <w:p>
            <w:pPr>
              <w:spacing w:before="480"/>
            </w:pPr>
            <w:r>
              <w:rPr>
                <w:rFonts w:ascii="Arial" w:cs="Arial" w:eastAsia="Arial" w:hAnsi="Arial"/>
              </w:rPr>
              <w:t xml:space="preserve"> </w:t>
            </w:r>
          </w:p>
          <w:p>
            <w:pPr>
              <w:jc w:val="center"/>
            </w:pPr>
            <w:r>
              <w:rPr>
                <w:rFonts w:ascii="Arial" w:cs="Arial" w:eastAsia="Arial" w:hAnsi="Arial"/>
                <w:sz w:val="20"/>
                <w:szCs w:val="20"/>
              </w:rPr>
              <w:t xml:space="preserve">_________________________________</w:t>
            </w:r>
          </w:p>
          <w:p>
            <w:pPr>
              <w:jc w:val="center"/>
            </w:pPr>
            <w:r>
              <w:rPr>
                <w:rFonts w:ascii="Arial" w:cs="Arial" w:eastAsia="Arial" w:hAnsi="Arial"/>
                <w:b/>
                <w:bCs/>
                <w:sz w:val="19"/>
                <w:szCs w:val="19"/>
              </w:rPr>
              <w:t xml:space="preserve">OMAR AGUSTÍN ARRIETA YÉPEZ</w:t>
            </w:r>
          </w:p>
          <w:p>
            <w:pPr>
              <w:spacing w:after="120"/>
              <w:jc w:val="center"/>
            </w:pPr>
            <w:r>
              <w:rPr>
                <w:rFonts w:ascii="Arial" w:cs="Arial" w:eastAsia="Arial" w:hAnsi="Arial"/>
                <w:color w:val="5A6B73"/>
                <w:sz w:val="17"/>
                <w:szCs w:val="17"/>
              </w:rPr>
              <w:t xml:space="preserve">Rector — Ordenador del gasto FSE</w:t>
            </w:r>
          </w:p>
        </w:tc>
        <w:tc>
          <w:tcPr>
            <w:tcW w:type="dxa" w:w="4419"/>
            <w:tcBorders>
              <w:top w:val="none" w:color="FFFFFF" w:sz="0"/>
              <w:left w:val="none" w:color="FFFFFF" w:sz="0"/>
              <w:bottom w:val="none" w:color="FFFFFF" w:sz="0"/>
              <w:right w:val="none" w:color="FFFFFF" w:sz="0"/>
            </w:tcBorders>
          </w:tcPr>
          <w:p/>
        </w:tc>
      </w:tr>
    </w:tbl>
    <w:p>
      <w:pPr>
        <w:spacing w:after="120" w:before="240" w:line="276"/>
        <w:jc w:val="both"/>
      </w:pPr>
      <w:r>
        <w:rPr>
          <w:rFonts w:ascii="Arial" w:cs="Arial" w:eastAsia="Arial" w:hAnsi="Arial"/>
          <w:color w:val="5A6B73"/>
          <w:sz w:val="16"/>
          <w:szCs w:val="16"/>
        </w:rPr>
        <w:t xml:space="preserve">Proyectó: Grupo Corporativo DataService S.A.S. BIC — Área Jurídica FOSE.</w:t>
      </w:r>
    </w:p>
    <w:sectPr>
      <w:headerReference w:type="default" r:id="rId6"/>
      <w:footerReference w:type="default" r:id="rId7"/>
      <w:pgSz w:w="12240" w:h="15840" w:orient="portrait"/>
      <w:pgMar w:top="2268" w:right="1701" w:bottom="1700" w:left="1701" w:header="500" w:footer="45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9D3DE" w:sz="6" w:space="1"/>
      </w:pBdr>
    </w:pPr>
  </w:p>
  <w:p>
    <w:pPr>
      <w:jc w:val="center"/>
    </w:pPr>
    <w:r>
      <w:rPr>
        <w:rFonts w:ascii="Arial" w:cs="Arial" w:eastAsia="Arial" w:hAnsi="Arial"/>
        <w:i/>
        <w:iCs/>
        <w:color w:val="3E8E4F"/>
        <w:sz w:val="16"/>
        <w:szCs w:val="16"/>
      </w:rPr>
      <w:t xml:space="preserve">Institución Educativa Departamental Celinda Mejía López, formando la niñez y juventud de Barroblanco — «Ciencia y Sabiduría»</w:t>
    </w:r>
  </w:p>
  <w:p>
    <w:pPr>
      <w:jc w:val="center"/>
    </w:pPr>
    <w:r>
      <w:rPr>
        <w:rFonts w:ascii="Arial" w:cs="Arial" w:eastAsia="Arial" w:hAnsi="Arial"/>
        <w:color w:val="5A6B73"/>
        <w:sz w:val="15"/>
        <w:szCs w:val="15"/>
      </w:rPr>
      <w:t xml:space="preserve">DS-RES-IMP-CML-2026 · Página </w:t>
    </w:r>
    <w:r>
      <w:rPr>
        <w:rFonts w:ascii="Arial" w:cs="Arial" w:eastAsia="Arial" w:hAnsi="Arial"/>
        <w:color w:val="5A6B73"/>
        <w:sz w:val="15"/>
        <w:szCs w:val="15"/>
      </w:rPr>
      <w:fldChar w:fldCharType="begin"/>
      <w:instrText xml:space="preserve">PAGE</w:instrText>
      <w:fldChar w:fldCharType="separate"/>
      <w:fldChar w:fldCharType="end"/>
    </w:r>
    <w:r>
      <w:rPr>
        <w:rFonts w:ascii="Arial" w:cs="Arial" w:eastAsia="Arial" w:hAnsi="Arial"/>
        <w:color w:val="5A6B73"/>
        <w:sz w:val="15"/>
        <w:szCs w:val="15"/>
      </w:rPr>
      <w:t xml:space="preserve"> de </w:t>
    </w:r>
    <w:r>
      <w:rPr>
        <w:rFonts w:ascii="Arial" w:cs="Arial" w:eastAsia="Arial" w:hAnsi="Arial"/>
        <w:color w:val="5A6B73"/>
        <w:sz w:val="15"/>
        <w:szCs w:val="15"/>
      </w:rPr>
      <w:fldChar w:fldCharType="begin"/>
      <w:instrText xml:space="preserve">NUMPAGES</w:instrText>
      <w:fldChar w:fldCharType="separate"/>
      <w:fldChar w:fldCharType="end"/>
    </w:r>
  </w:p>
  <w:p>
    <w:pPr>
      <w:jc w:val="center"/>
    </w:pPr>
    <w:r>
      <w:rPr>
        <w:rFonts w:ascii="Arial" w:cs="Arial" w:eastAsia="Arial" w:hAnsi="Arial"/>
        <w:color w:val="5A6B73"/>
        <w:sz w:val="13"/>
        <w:szCs w:val="13"/>
      </w:rPr>
      <w:t xml:space="preserve">Asistencia técnica y metodología CCCCVD 2026: Grupo Corporativo DataService S.A.S. BIC · www.dataservice.com.co · gerencia@dataservice.com.co · +57 311 272 6182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4629150">
          <wp:simplePos x="0" y="0"/>
          <wp:positionH relativeFrom="page">
            <wp:align>center</wp:align>
          </wp:positionH>
          <wp:positionV relativeFrom="page">
            <wp:align>center</wp:align>
          </wp:positionV>
          <wp:extent cx="4095750" cy="462915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095750" cy="4629150"/>
                  </a:xfrm>
                  <a:prstGeom prst="rect">
                    <a:avLst/>
                  </a:prstGeom>
                </pic:spPr>
              </pic:pic>
            </a:graphicData>
          </a:graphic>
        </wp:anchor>
      </w:drawing>
    </w:r>
  </w:p>
  <w:tbl>
    <w:tblPr>
      <w:tblW w:type="dxa" w:w="8838"/>
      <w:tblBorders>
        <w:top w:val="single" w:color="auto" w:sz="4"/>
        <w:left w:val="single" w:color="auto" w:sz="4"/>
        <w:bottom w:val="single" w:color="auto" w:sz="4"/>
        <w:right w:val="single" w:color="auto" w:sz="4"/>
        <w:insideH w:val="single" w:color="auto" w:sz="4"/>
        <w:insideV w:val="single" w:color="auto" w:sz="4"/>
      </w:tblBorders>
    </w:tblPr>
    <w:tblGrid>
      <w:gridCol w:w="1400"/>
      <w:gridCol w:w="6038"/>
      <w:gridCol w:w="1400"/>
    </w:tblGrid>
    <w:tr>
      <w:tc>
        <w:tcPr>
          <w:tcW w:type="dxa" w:w="1400"/>
          <w:tcBorders>
            <w:top w:val="none" w:color="FFFFFF" w:sz="0"/>
            <w:left w:val="none" w:color="FFFFFF" w:sz="0"/>
            <w:bottom w:val="none" w:color="FFFFFF" w:sz="0"/>
            <w:right w:val="none" w:color="FFFFFF" w:sz="0"/>
          </w:tcBorders>
          <w:vAlign w:val="center"/>
        </w:tcPr>
        <w:p>
          <w:pPr>
            <w:jc w:val="center"/>
          </w:pPr>
          <w:r>
            <w:drawing>
              <wp:inline distT="0" distB="0" distL="0" distR="0">
                <wp:extent cx="666750" cy="752475"/>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666750" cy="752475"/>
                        </a:xfrm>
                        <a:prstGeom prst="rect">
                          <a:avLst/>
                        </a:prstGeom>
                      </pic:spPr>
                    </pic:pic>
                  </a:graphicData>
                </a:graphic>
              </wp:inline>
            </w:drawing>
          </w:r>
        </w:p>
      </w:tc>
      <w:tc>
        <w:tcPr>
          <w:tcW w:type="dxa" w:w="6038"/>
          <w:tcBorders>
            <w:top w:val="none" w:color="FFFFFF" w:sz="0"/>
            <w:left w:val="none" w:color="FFFFFF" w:sz="0"/>
            <w:bottom w:val="none" w:color="FFFFFF" w:sz="0"/>
            <w:right w:val="none" w:color="FFFFFF" w:sz="0"/>
          </w:tcBorders>
          <w:vAlign w:val="center"/>
        </w:tcPr>
        <w:p>
          <w:pPr>
            <w:spacing w:after="0"/>
            <w:jc w:val="center"/>
          </w:pPr>
          <w:r>
            <w:rPr>
              <w:rFonts w:ascii="Arial" w:cs="Arial" w:eastAsia="Arial" w:hAnsi="Arial"/>
              <w:b/>
              <w:bCs/>
              <w:color w:val="5A6B73"/>
              <w:sz w:val="15"/>
              <w:szCs w:val="15"/>
            </w:rPr>
            <w:t xml:space="preserve">REPÚBLICA DE COLOMBIA · DEPARTAMENTO DEL MAGDALENA</w:t>
          </w:r>
        </w:p>
        <w:p>
          <w:pPr>
            <w:spacing w:after="0"/>
            <w:jc w:val="center"/>
          </w:pPr>
          <w:r>
            <w:rPr>
              <w:rFonts w:ascii="Arial" w:cs="Arial" w:eastAsia="Arial" w:hAnsi="Arial"/>
              <w:b/>
              <w:bCs/>
              <w:color w:val="1E3A46"/>
              <w:sz w:val="18"/>
              <w:szCs w:val="18"/>
            </w:rPr>
            <w:t xml:space="preserve">INSTITUCIÓN EDUCATIVA DEPARTAMENTAL</w:t>
          </w:r>
        </w:p>
        <w:p>
          <w:pPr>
            <w:spacing w:after="0"/>
            <w:jc w:val="center"/>
          </w:pPr>
          <w:r>
            <w:rPr>
              <w:rFonts w:ascii="Arial" w:cs="Arial" w:eastAsia="Arial" w:hAnsi="Arial"/>
              <w:b/>
              <w:bCs/>
              <w:color w:val="3E8E4F"/>
              <w:sz w:val="24"/>
              <w:szCs w:val="24"/>
            </w:rPr>
            <w:t xml:space="preserve">CELINDA MEJÍA LÓPEZ</w:t>
          </w:r>
        </w:p>
        <w:p>
          <w:pPr>
            <w:spacing w:after="0"/>
            <w:jc w:val="center"/>
          </w:pPr>
          <w:r>
            <w:rPr>
              <w:rFonts w:ascii="Arial" w:cs="Arial" w:eastAsia="Arial" w:hAnsi="Arial"/>
              <w:b/>
              <w:bCs/>
              <w:color w:val="1E3A46"/>
              <w:sz w:val="15"/>
              <w:szCs w:val="15"/>
            </w:rPr>
            <w:t xml:space="preserve">NIT: 819.005.763-5 · DANE: 247707000053</w:t>
          </w:r>
        </w:p>
        <w:p>
          <w:pPr>
            <w:spacing w:after="0"/>
            <w:jc w:val="center"/>
          </w:pPr>
          <w:r>
            <w:rPr>
              <w:rFonts w:ascii="Arial" w:cs="Arial" w:eastAsia="Arial" w:hAnsi="Arial"/>
              <w:b w:val="false"/>
              <w:bCs w:val="false"/>
              <w:color w:val="1E3A46"/>
              <w:sz w:val="14"/>
              <w:szCs w:val="14"/>
            </w:rPr>
            <w:t xml:space="preserve">Resolución de aprobación 0350 del 6 de marzo de 2024</w:t>
          </w:r>
        </w:p>
        <w:p>
          <w:pPr>
            <w:spacing w:after="0"/>
            <w:jc w:val="center"/>
          </w:pPr>
          <w:r>
            <w:rPr>
              <w:rFonts w:ascii="Arial" w:cs="Arial" w:eastAsia="Arial" w:hAnsi="Arial"/>
              <w:b w:val="false"/>
              <w:bCs w:val="false"/>
              <w:color w:val="1E3A46"/>
              <w:sz w:val="14"/>
              <w:szCs w:val="14"/>
            </w:rPr>
            <w:t xml:space="preserve">Barroblanco — Santa Ana, Magdalena · Cel.: 310 614 1470</w:t>
          </w:r>
        </w:p>
      </w:tc>
      <w:tc>
        <w:tcPr>
          <w:tcW w:type="dxa" w:w="1400"/>
          <w:tcBorders>
            <w:top w:val="none" w:color="FFFFFF" w:sz="0"/>
            <w:left w:val="none" w:color="FFFFFF" w:sz="0"/>
            <w:bottom w:val="none" w:color="FFFFFF" w:sz="0"/>
            <w:right w:val="none" w:color="FFFFFF" w:sz="0"/>
          </w:tcBorders>
          <w:vAlign w:val="center"/>
        </w:tcPr>
        <w:p>
          <w:pPr>
            <w:jc w:val="center"/>
          </w:pPr>
          <w:r>
            <w:drawing>
              <wp:inline distT="0" distB="0" distL="0" distR="0">
                <wp:extent cx="590550" cy="62865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590550" cy="628650"/>
                        </a:xfrm>
                        <a:prstGeom prst="rect">
                          <a:avLst/>
                        </a:prstGeom>
                      </pic:spPr>
                    </pic:pic>
                  </a:graphicData>
                </a:graphic>
              </wp:inline>
            </w:drawing>
          </w:r>
        </w:p>
      </w:tc>
    </w:tr>
  </w:tbl>
  <w:p>
    <w:pPr>
      <w:pBdr>
        <w:bottom w:val="single" w:color="3E8E4F" w:sz="12" w:space="1"/>
      </w:pBdr>
      <w:spacing w:after="0"/>
    </w:pPr>
  </w:p>
  <w:p>
    <w:pPr>
      <w:pBdr>
        <w:top w:val="single" w:color="7FB9D3" w:sz="6" w:space="1"/>
      </w:pBdr>
      <w:spacing w:after="8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67" w:hanging="283"/>
      </w:pPr>
    </w:lvl>
    <w:lvl w:ilvl="1" w:tentative="1">
      <w:start w:val="1"/>
      <w:numFmt w:val="bullet"/>
      <w:lvlText w:val="–"/>
      <w:lvlJc w:val="left"/>
      <w:pPr>
        <w:ind w:left="1000" w:hanging="283"/>
      </w:pPr>
    </w:lvl>
  </w:abstractNum>
  <w:abstractNum w:abstractNumId="3" w15:restartNumberingAfterBreak="0">
    <w:multiLevelType w:val="hybridMultilevel"/>
    <w:lvl w:ilvl="0" w:tentative="1">
      <w:start w:val="1"/>
      <w:numFmt w:val="decimal"/>
      <w:lvlText w:val="%1."/>
      <w:lvlJc w:val="left"/>
      <w:pPr>
        <w:ind w:left="567" w:hanging="340"/>
      </w:pPr>
    </w:lvl>
  </w:abstractNum>
  <w:abstractNum w:abstractNumId="4" w15:restartNumberingAfterBreak="0">
    <w:multiLevelType w:val="hybridMultilevel"/>
    <w:lvl w:ilvl="0" w:tentative="1">
      <w:start w:val="1"/>
      <w:numFmt w:val="decimal"/>
      <w:lvlText w:val="%1."/>
      <w:lvlJc w:val="left"/>
      <w:pPr>
        <w:ind w:left="567" w:hanging="340"/>
      </w:pPr>
    </w:lvl>
  </w:abstractNum>
  <w:abstractNum w:abstractNumId="5" w15:restartNumberingAfterBreak="0">
    <w:multiLevelType w:val="hybridMultilevel"/>
    <w:lvl w:ilvl="0" w:tentative="1">
      <w:start w:val="1"/>
      <w:numFmt w:val="decimal"/>
      <w:lvlText w:val="%1."/>
      <w:lvlJc w:val="left"/>
      <w:pPr>
        <w:ind w:left="567" w:hanging="340"/>
      </w:pPr>
    </w:lvl>
  </w:abstractNum>
  <w:abstractNum w:abstractNumId="6" w15:restartNumberingAfterBreak="0">
    <w:multiLevelType w:val="hybridMultilevel"/>
    <w:lvl w:ilvl="0" w:tentative="1">
      <w:start w:val="1"/>
      <w:numFmt w:val="decimal"/>
      <w:lvlText w:val="%1."/>
      <w:lvlJc w:val="left"/>
      <w:pPr>
        <w:ind w:left="567" w:hanging="340"/>
      </w:pPr>
    </w:lvl>
  </w:abstractNum>
  <w:abstractNum w:abstractNumId="7" w15:restartNumberingAfterBreak="0">
    <w:multiLevelType w:val="hybridMultilevel"/>
    <w:lvl w:ilvl="0" w:tentative="1">
      <w:start w:val="1"/>
      <w:numFmt w:val="decimal"/>
      <w:lvlText w:val="%1."/>
      <w:lvlJc w:val="left"/>
      <w:pPr>
        <w:ind w:left="567" w:hanging="340"/>
      </w:pPr>
    </w:lvl>
  </w:abstractNum>
  <w:abstractNum w:abstractNumId="8" w15:restartNumberingAfterBreak="0">
    <w:multiLevelType w:val="hybridMultilevel"/>
    <w:lvl w:ilvl="0" w:tentative="1">
      <w:start w:val="1"/>
      <w:numFmt w:val="decimal"/>
      <w:lvlText w:val="%1."/>
      <w:lvlJc w:val="left"/>
      <w:pPr>
        <w:ind w:left="567" w:hanging="340"/>
      </w:pPr>
    </w:lvl>
  </w:abstractNum>
  <w:abstractNum w:abstractNumId="9" w15:restartNumberingAfterBreak="0">
    <w:multiLevelType w:val="hybridMultilevel"/>
    <w:lvl w:ilvl="0" w:tentative="1">
      <w:start w:val="1"/>
      <w:numFmt w:val="decimal"/>
      <w:lvlText w:val="%1."/>
      <w:lvlJc w:val="left"/>
      <w:pPr>
        <w:ind w:left="567" w:hanging="340"/>
      </w:pPr>
    </w:lvl>
  </w:abstractNum>
  <w:abstractNum w:abstractNumId="10" w15:restartNumberingAfterBreak="0">
    <w:multiLevelType w:val="hybridMultilevel"/>
    <w:lvl w:ilvl="0" w:tentative="1">
      <w:start w:val="1"/>
      <w:numFmt w:val="decimal"/>
      <w:lvlText w:val="%1."/>
      <w:lvlJc w:val="left"/>
      <w:pPr>
        <w:ind w:left="567" w:hanging="340"/>
      </w:pPr>
    </w:lvl>
  </w:abstractNum>
  <w:abstractNum w:abstractNumId="11" w15:restartNumberingAfterBreak="0">
    <w:multiLevelType w:val="hybridMultilevel"/>
    <w:lvl w:ilvl="0" w:tentative="1">
      <w:start w:val="1"/>
      <w:numFmt w:val="decimal"/>
      <w:lvlText w:val="%1."/>
      <w:lvlJc w:val="left"/>
      <w:pPr>
        <w:ind w:left="567" w:hanging="340"/>
      </w:pPr>
    </w:lvl>
  </w:abstractNum>
  <w:abstractNum w:abstractNumId="12" w15:restartNumberingAfterBreak="0">
    <w:multiLevelType w:val="hybridMultilevel"/>
    <w:lvl w:ilvl="0" w:tentative="1">
      <w:start w:val="1"/>
      <w:numFmt w:val="decimal"/>
      <w:lvlText w:val="%1."/>
      <w:lvlJc w:val="left"/>
      <w:pPr>
        <w:ind w:left="567" w:hanging="340"/>
      </w:pPr>
    </w:lvl>
  </w:abstractNum>
  <w:abstractNum w:abstractNumId="13" w15:restartNumberingAfterBreak="0">
    <w:multiLevelType w:val="hybridMultilevel"/>
    <w:lvl w:ilvl="0" w:tentative="1">
      <w:start w:val="1"/>
      <w:numFmt w:val="decimal"/>
      <w:lvlText w:val="%1."/>
      <w:lvlJc w:val="left"/>
      <w:pPr>
        <w:ind w:left="567" w:hanging="340"/>
      </w:pPr>
    </w:lvl>
  </w:abstractNum>
  <w:abstractNum w:abstractNumId="14" w15:restartNumberingAfterBreak="0">
    <w:multiLevelType w:val="hybridMultilevel"/>
    <w:lvl w:ilvl="0" w:tentative="1">
      <w:start w:val="1"/>
      <w:numFmt w:val="decimal"/>
      <w:lvlText w:val="%1."/>
      <w:lvlJc w:val="left"/>
      <w:pPr>
        <w:ind w:left="567" w:hanging="340"/>
      </w:pPr>
    </w:lvl>
  </w:abstractNum>
  <w:abstractNum w:abstractNumId="15" w15:restartNumberingAfterBreak="0">
    <w:multiLevelType w:val="hybridMultilevel"/>
    <w:lvl w:ilvl="0" w:tentative="1">
      <w:start w:val="1"/>
      <w:numFmt w:val="decimal"/>
      <w:lvlText w:val="%1."/>
      <w:lvlJc w:val="left"/>
      <w:pPr>
        <w:ind w:left="567" w:hanging="340"/>
      </w:pPr>
    </w:lvl>
  </w:abstractNum>
  <w:abstractNum w:abstractNumId="16" w15:restartNumberingAfterBreak="0">
    <w:multiLevelType w:val="hybridMultilevel"/>
    <w:lvl w:ilvl="0" w:tentative="1">
      <w:start w:val="1"/>
      <w:numFmt w:val="decimal"/>
      <w:lvlText w:val="%1."/>
      <w:lvlJc w:val="left"/>
      <w:pPr>
        <w:ind w:left="567" w:hanging="340"/>
      </w:pPr>
    </w:lvl>
  </w:abstractNum>
  <w:abstractNum w:abstractNumId="17" w15:restartNumberingAfterBreak="0">
    <w:multiLevelType w:val="hybridMultilevel"/>
    <w:lvl w:ilvl="0" w:tentative="1">
      <w:start w:val="1"/>
      <w:numFmt w:val="decimal"/>
      <w:lvlText w:val="%1."/>
      <w:lvlJc w:val="left"/>
      <w:pPr>
        <w:ind w:left="567" w:hanging="340"/>
      </w:pPr>
    </w:lvl>
  </w:abstractNum>
  <w:abstractNum w:abstractNumId="18" w15:restartNumberingAfterBreak="0">
    <w:multiLevelType w:val="hybridMultilevel"/>
    <w:lvl w:ilvl="0" w:tentative="1">
      <w:start w:val="1"/>
      <w:numFmt w:val="decimal"/>
      <w:lvlText w:val="%1."/>
      <w:lvlJc w:val="left"/>
      <w:pPr>
        <w:ind w:left="567" w:hanging="340"/>
      </w:pPr>
    </w:lvl>
  </w:abstractNum>
  <w:abstractNum w:abstractNumId="19" w15:restartNumberingAfterBreak="0">
    <w:multiLevelType w:val="hybridMultilevel"/>
    <w:lvl w:ilvl="0" w:tentative="1">
      <w:start w:val="1"/>
      <w:numFmt w:val="decimal"/>
      <w:lvlText w:val="%1."/>
      <w:lvlJc w:val="left"/>
      <w:pPr>
        <w:ind w:left="567" w:hanging="340"/>
      </w:pPr>
    </w:lvl>
  </w:abstractNum>
  <w:abstractNum w:abstractNumId="20" w15:restartNumberingAfterBreak="0">
    <w:multiLevelType w:val="hybridMultilevel"/>
    <w:lvl w:ilvl="0" w:tentative="1">
      <w:start w:val="1"/>
      <w:numFmt w:val="decimal"/>
      <w:lvlText w:val="%1."/>
      <w:lvlJc w:val="left"/>
      <w:pPr>
        <w:ind w:left="567" w:hanging="340"/>
      </w:pPr>
    </w:lvl>
  </w:abstractNum>
  <w:abstractNum w:abstractNumId="21" w15:restartNumberingAfterBreak="0">
    <w:multiLevelType w:val="hybridMultilevel"/>
    <w:lvl w:ilvl="0" w:tentative="1">
      <w:start w:val="1"/>
      <w:numFmt w:val="decimal"/>
      <w:lvlText w:val="%1."/>
      <w:lvlJc w:val="left"/>
      <w:pPr>
        <w:ind w:left="567" w:hanging="340"/>
      </w:pPr>
    </w:lvl>
  </w:abstractNum>
  <w:abstractNum w:abstractNumId="22" w15:restartNumberingAfterBreak="0">
    <w:multiLevelType w:val="hybridMultilevel"/>
    <w:lvl w:ilvl="0" w:tentative="1">
      <w:start w:val="1"/>
      <w:numFmt w:val="decimal"/>
      <w:lvlText w:val="%1."/>
      <w:lvlJc w:val="left"/>
      <w:pPr>
        <w:ind w:left="567" w:hanging="340"/>
      </w:pPr>
    </w:lvl>
  </w:abstractNum>
  <w:abstractNum w:abstractNumId="23" w15:restartNumberingAfterBreak="0">
    <w:multiLevelType w:val="hybridMultilevel"/>
    <w:lvl w:ilvl="0" w:tentative="1">
      <w:start w:val="1"/>
      <w:numFmt w:val="decimal"/>
      <w:lvlText w:val="%1."/>
      <w:lvlJc w:val="left"/>
      <w:pPr>
        <w:ind w:left="567" w:hanging="340"/>
      </w:pPr>
    </w:lvl>
  </w:abstractNum>
  <w:abstractNum w:abstractNumId="24" w15:restartNumberingAfterBreak="0">
    <w:multiLevelType w:val="hybridMultilevel"/>
    <w:lvl w:ilvl="0" w:tentative="1">
      <w:start w:val="1"/>
      <w:numFmt w:val="decimal"/>
      <w:lvlText w:val="%1."/>
      <w:lvlJc w:val="left"/>
      <w:pPr>
        <w:ind w:left="567" w:hanging="340"/>
      </w:pPr>
    </w:lvl>
  </w:abstractNum>
  <w:abstractNum w:abstractNumId="25" w15:restartNumberingAfterBreak="0">
    <w:multiLevelType w:val="hybridMultilevel"/>
    <w:lvl w:ilvl="0" w:tentative="1">
      <w:start w:val="1"/>
      <w:numFmt w:val="decimal"/>
      <w:lvlText w:val="%1."/>
      <w:lvlJc w:val="left"/>
      <w:pPr>
        <w:ind w:left="567" w:hanging="340"/>
      </w:pPr>
    </w:lvl>
  </w:abstractNum>
  <w:abstractNum w:abstractNumId="26" w15:restartNumberingAfterBreak="0">
    <w:multiLevelType w:val="hybridMultilevel"/>
    <w:lvl w:ilvl="0" w:tentative="1">
      <w:start w:val="1"/>
      <w:numFmt w:val="decimal"/>
      <w:lvlText w:val="%1."/>
      <w:lvlJc w:val="left"/>
      <w:pPr>
        <w:ind w:left="567" w:hanging="340"/>
      </w:pPr>
    </w:lvl>
  </w:abstractNum>
  <w:abstractNum w:abstractNumId="27" w15:restartNumberingAfterBreak="0">
    <w:multiLevelType w:val="hybridMultilevel"/>
    <w:lvl w:ilvl="0" w:tentative="1">
      <w:start w:val="1"/>
      <w:numFmt w:val="decimal"/>
      <w:lvlText w:val="%1."/>
      <w:lvlJc w:val="left"/>
      <w:pPr>
        <w:ind w:left="567" w:hanging="340"/>
      </w:pPr>
    </w:lvl>
  </w:abstractNum>
  <w:abstractNum w:abstractNumId="28" w15:restartNumberingAfterBreak="0">
    <w:multiLevelType w:val="hybridMultilevel"/>
    <w:lvl w:ilvl="0" w:tentative="1">
      <w:start w:val="1"/>
      <w:numFmt w:val="decimal"/>
      <w:lvlText w:val="%1."/>
      <w:lvlJc w:val="left"/>
      <w:pPr>
        <w:ind w:left="567" w:hanging="340"/>
      </w:pPr>
    </w:lvl>
  </w:abstractNum>
  <w:abstractNum w:abstractNumId="29" w15:restartNumberingAfterBreak="0">
    <w:multiLevelType w:val="hybridMultilevel"/>
    <w:lvl w:ilvl="0" w:tentative="1">
      <w:start w:val="1"/>
      <w:numFmt w:val="decimal"/>
      <w:lvlText w:val="%1."/>
      <w:lvlJc w:val="left"/>
      <w:pPr>
        <w:ind w:left="567" w:hanging="340"/>
      </w:pPr>
    </w:lvl>
  </w:abstractNum>
  <w:abstractNum w:abstractNumId="30" w15:restartNumberingAfterBreak="0">
    <w:multiLevelType w:val="hybridMultilevel"/>
    <w:lvl w:ilvl="0" w:tentative="1">
      <w:start w:val="1"/>
      <w:numFmt w:val="decimal"/>
      <w:lvlText w:val="%1."/>
      <w:lvlJc w:val="left"/>
      <w:pPr>
        <w:ind w:left="567" w:hanging="340"/>
      </w:pPr>
    </w:lvl>
  </w:abstractNum>
  <w:abstractNum w:abstractNumId="31" w15:restartNumberingAfterBreak="0">
    <w:multiLevelType w:val="hybridMultilevel"/>
    <w:lvl w:ilvl="0" w:tentative="1">
      <w:start w:val="1"/>
      <w:numFmt w:val="decimal"/>
      <w:lvlText w:val="%1."/>
      <w:lvlJc w:val="left"/>
      <w:pPr>
        <w:ind w:left="567" w:hanging="340"/>
      </w:pPr>
    </w:lvl>
  </w:abstractNum>
  <w:abstractNum w:abstractNumId="32" w15:restartNumberingAfterBreak="0">
    <w:multiLevelType w:val="hybridMultilevel"/>
    <w:lvl w:ilvl="0" w:tentative="1">
      <w:start w:val="1"/>
      <w:numFmt w:val="decimal"/>
      <w:lvlText w:val="%1."/>
      <w:lvlJc w:val="left"/>
      <w:pPr>
        <w:ind w:left="567" w:hanging="340"/>
      </w:pPr>
    </w:lvl>
  </w:abstractNum>
  <w:abstractNum w:abstractNumId="33" w15:restartNumberingAfterBreak="0">
    <w:multiLevelType w:val="hybridMultilevel"/>
    <w:lvl w:ilvl="0" w:tentative="1">
      <w:start w:val="1"/>
      <w:numFmt w:val="decimal"/>
      <w:lvlText w:val="%1."/>
      <w:lvlJc w:val="left"/>
      <w:pPr>
        <w:ind w:left="567" w:hanging="34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3E8E4F" w:sz="6" w:space="2"/>
      </w:pBdr>
      <w:spacing w:after="140" w:before="280"/>
      <w:outlineLvl w:val="0"/>
    </w:pPr>
    <w:rPr>
      <w:rFonts w:ascii="Arial" w:cs="Arial" w:eastAsia="Arial" w:hAnsi="Arial"/>
      <w:b/>
      <w:bCs/>
      <w:color w:val="17506A"/>
      <w:sz w:val="26"/>
      <w:szCs w:val="26"/>
    </w:rPr>
  </w:style>
  <w:style w:type="paragraph" w:styleId="Heading2">
    <w:name w:val="Heading 2"/>
    <w:basedOn w:val="Normal"/>
    <w:next w:val="Normal"/>
    <w:qFormat/>
    <w:pPr>
      <w:spacing w:after="100" w:before="220"/>
      <w:outlineLvl w:val="1"/>
    </w:pPr>
    <w:rPr>
      <w:rFonts w:ascii="Arial" w:cs="Arial" w:eastAsia="Arial" w:hAnsi="Arial"/>
      <w:b/>
      <w:bCs/>
      <w:color w:val="3E8E4F"/>
      <w:sz w:val="23"/>
      <w:szCs w:val="23"/>
    </w:rPr>
  </w:style>
  <w:style w:type="paragraph" w:styleId="Heading3">
    <w:name w:val="Heading 3"/>
    <w:basedOn w:val="Normal"/>
    <w:next w:val="Normal"/>
    <w:qFormat/>
    <w:pPr>
      <w:spacing w:after="80" w:before="160"/>
      <w:outlineLvl w:val="2"/>
    </w:pPr>
    <w:rPr>
      <w:rFonts w:ascii="Arial" w:cs="Arial" w:eastAsia="Arial" w:hAnsi="Arial"/>
      <w:b/>
      <w:bCs/>
      <w:color w:val="1F6E8C"/>
      <w:sz w:val="21"/>
      <w:szCs w:val="21"/>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cf6af18606d4fadb1750d0ba8dba927b37814b53.png"/><Relationship Id="rId1" Type="http://schemas.openxmlformats.org/officeDocument/2006/relationships/image" Target="media/72afa6f69139e66bcddd99902969bfd09f7a0889.png"/><Relationship Id="rId2" Type="http://schemas.openxmlformats.org/officeDocument/2006/relationships/image" Target="media/eae5f21447e56f06bfe21acd1e04c570db5d3cc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Resolución Rectoral de implementación</dc:title>
  <dc:creator>Grupo Corporativo DataService S.A.S. BIC — Sergio Andrés Escobar Morales</dc:creator>
  <dc:description>DS-RES-IMP-CML-2026</dc:description>
  <cp:lastModifiedBy>Un-named</cp:lastModifiedBy>
  <cp:revision>1</cp:revision>
  <dcterms:created xsi:type="dcterms:W3CDTF">2026-10-27T14:35:04.115Z</dcterms:created>
  <dcterms:modified xsi:type="dcterms:W3CDTF">2026-10-27T14:35:04.115Z</dcterms:modified>
</cp:coreProperties>
</file>

<file path=docProps/custom.xml><?xml version="1.0" encoding="utf-8"?>
<Properties xmlns="http://schemas.openxmlformats.org/officeDocument/2006/custom-properties" xmlns:vt="http://schemas.openxmlformats.org/officeDocument/2006/docPropsVTypes"/>
</file>